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5D" w:rsidRPr="004C1C5D" w:rsidRDefault="004C1C5D" w:rsidP="004C1C5D">
      <w:pPr>
        <w:shd w:val="clear" w:color="auto" w:fill="EDEDED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</w:pPr>
      <w:r w:rsidRPr="004C1C5D"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>Ответственность несовершеннолетних за совершение правонарушений в области дорожного движения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bookmarkStart w:id="0" w:name="_GoBack"/>
      <w:bookmarkEnd w:id="0"/>
      <w:r w:rsidRPr="004C1C5D">
        <w:rPr>
          <w:rStyle w:val="a4"/>
          <w:b w:val="0"/>
        </w:rPr>
        <w:t>Обязанности пешеходов (п. 4 Правил дорожного движения).</w:t>
      </w:r>
    </w:p>
    <w:p w:rsid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 xml:space="preserve">4.1. Пешеходы должны двигаться по тротуарам, пешеходным дорожкам, </w:t>
      </w:r>
      <w:proofErr w:type="spellStart"/>
      <w:r w:rsidRPr="004C1C5D">
        <w:t>велопешеходным</w:t>
      </w:r>
      <w:proofErr w:type="spellEnd"/>
      <w:r w:rsidRPr="004C1C5D"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 xml:space="preserve">При отсутствии тротуаров, пешеходных дорожек, </w:t>
      </w:r>
      <w:proofErr w:type="spellStart"/>
      <w:r w:rsidRPr="004C1C5D">
        <w:t>велопешеходных</w:t>
      </w:r>
      <w:proofErr w:type="spellEnd"/>
      <w:r w:rsidRPr="004C1C5D"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4C1C5D">
        <w:t>световозвращающими</w:t>
      </w:r>
      <w:proofErr w:type="spellEnd"/>
      <w:r w:rsidRPr="004C1C5D">
        <w:t xml:space="preserve"> элементами и обеспечивать видимость этих предметов водителями транспортных средств.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 xml:space="preserve"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</w:t>
      </w:r>
      <w:r w:rsidRPr="004C1C5D">
        <w:lastRenderedPageBreak/>
        <w:t>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 В соответствии с Кодексом об административных правонарушениях РФ возраст, по достижении которого наступает </w:t>
      </w:r>
      <w:r w:rsidRPr="004C1C5D">
        <w:rPr>
          <w:bCs/>
        </w:rPr>
        <w:t>административная ответственность</w:t>
      </w:r>
      <w:r w:rsidRPr="004C1C5D">
        <w:t> за совершение административного правонарушения, в том числе - и в сфере безопасности дорожного движения -</w:t>
      </w:r>
      <w:r w:rsidRPr="004C1C5D">
        <w:rPr>
          <w:bCs/>
        </w:rPr>
        <w:t>16 лет</w:t>
      </w:r>
      <w:r w:rsidRPr="004C1C5D">
        <w:t>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rPr>
          <w:rStyle w:val="a4"/>
          <w:b w:val="0"/>
        </w:rPr>
        <w:t>Статья 12.6. Нарушение правил применения ремней безопасности или мотошлемов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либо перевозка на мотоцикле пассажиров без мотошлемов или в не застегнутых мотошлемах - влечет наложение административного штрафа в размере одной тысячи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rPr>
          <w:rStyle w:val="a4"/>
          <w:b w:val="0"/>
        </w:rPr>
        <w:t>Статья 12.7. Управление транспортным средством водителем, не имеющим права управления транспортным средством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1. Управление транспортным средством водителем, не имеющим права управления транспортным средством (за исключением учебной езды), - влечет наложение административного штрафа в размере от пяти тысяч до пятнадцати тысяч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2.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3. 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- влечет наложение административного штрафа в размере тридцати тысяч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rPr>
          <w:rStyle w:val="a4"/>
          <w:b w:val="0"/>
        </w:rPr>
        <w:lastRenderedPageBreak/>
        <w:t>Статья 12.29. Нарушение Правил дорожного движения пешеходом или иным лицом, участвующим в процессе дорожного движения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1. 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пятисот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2. 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транспортного средства), - влечет наложение административного штрафа в размере восьмисот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3. 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одной тысячи до одной тысячи пятисот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rPr>
          <w:rStyle w:val="a4"/>
          <w:b w:val="0"/>
        </w:rPr>
        <w:t>Статья 12.30. Нарушение Правил 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1.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влечет наложение административного штрафа в размере одной тысячи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t>2.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от одной тысячи до одной тысячи пятисот рублей.</w:t>
      </w:r>
    </w:p>
    <w:p w:rsidR="004C1C5D" w:rsidRPr="004C1C5D" w:rsidRDefault="004C1C5D" w:rsidP="004C1C5D">
      <w:pPr>
        <w:pStyle w:val="a3"/>
        <w:shd w:val="clear" w:color="auto" w:fill="FFFFFF"/>
        <w:ind w:left="-851"/>
        <w:jc w:val="both"/>
      </w:pPr>
      <w:r w:rsidRPr="004C1C5D">
        <w:rPr>
          <w:bCs/>
        </w:rPr>
        <w:t>Уголовной ответственности</w:t>
      </w:r>
      <w:r w:rsidRPr="004C1C5D">
        <w:t> подлежит лицо, достигшее к моменту совершения преступления </w:t>
      </w:r>
      <w:r w:rsidRPr="004C1C5D">
        <w:rPr>
          <w:bCs/>
        </w:rPr>
        <w:t>16 лет</w:t>
      </w:r>
      <w:r w:rsidRPr="004C1C5D">
        <w:t>. За отдельные виды преступлений (угон транспортного средства, если в результате дорожно-транспортного происшествия наступает смерть участника дорожного движения по вине несовершеннолетнего водителя) ответственность, предусмотренная Уголовным кодексом РФ, наступает с </w:t>
      </w:r>
      <w:r w:rsidRPr="004C1C5D">
        <w:rPr>
          <w:bCs/>
        </w:rPr>
        <w:t>14 лет</w:t>
      </w:r>
      <w:r w:rsidRPr="004C1C5D">
        <w:t>.</w:t>
      </w:r>
    </w:p>
    <w:p w:rsidR="001401AE" w:rsidRPr="004C1C5D" w:rsidRDefault="001401AE" w:rsidP="004C1C5D"/>
    <w:sectPr w:rsidR="001401AE" w:rsidRPr="004C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E"/>
    <w:rsid w:val="001401AE"/>
    <w:rsid w:val="003958DE"/>
    <w:rsid w:val="004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DF68"/>
  <w15:chartTrackingRefBased/>
  <w15:docId w15:val="{B4D28D2B-FD4B-4016-9BCF-3D646C1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C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1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2024-08-09T11:03:00Z</cp:lastPrinted>
  <dcterms:created xsi:type="dcterms:W3CDTF">2024-08-09T10:59:00Z</dcterms:created>
  <dcterms:modified xsi:type="dcterms:W3CDTF">2024-08-09T11:05:00Z</dcterms:modified>
</cp:coreProperties>
</file>